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2AEB3"/>
          <w:sz w:val="20"/>
        </w:rPr>
        <w:t>SYNERGY FIBER</w:t>
      </w:r>
    </w:p>
    <w:p>
      <w:pPr>
        <w:spacing w:after="60"/>
        <w:jc w:val="center"/>
      </w:pPr>
      <w:r>
        <w:rPr>
          <w:b/>
          <w:color w:val="071C2D"/>
          <w:sz w:val="40"/>
        </w:rPr>
        <w:t>WHAT BELONGS IN YOUR 2027 TECHNOLOGY BUDGET</w:t>
      </w:r>
    </w:p>
    <w:p>
      <w:pPr>
        <w:spacing w:after="200"/>
        <w:jc w:val="center"/>
      </w:pPr>
      <w:r>
        <w:t>Before October, review the infrastructure, connected systems and support responsibilities that determine whether technology works as one building.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400"/>
            <w:vAlign w:val="center"/>
            <w:tcMar>
              <w:top w:w="170" w:type="dxa"/>
              <w:start w:w="160" w:type="dxa"/>
              <w:bottom w:w="170" w:type="dxa"/>
              <w:end w:w="160" w:type="dxa"/>
            </w:tcMar>
            <w:shd w:fill="071C2D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CONNECTIVITY + CAPACITY</w:t>
            </w:r>
          </w:p>
        </w:tc>
        <w:tc>
          <w:tcPr>
            <w:tcW w:type="dxa" w:w="69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7F8F8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8"/>
              </w:rPr>
              <w:t>☐ Internet handoff, redundancy and contract timing</w:t>
              <w:br/>
              <w:t>☐ Wi-Fi coverage, density, 6 GHz and device mix</w:t>
              <w:br/>
              <w:t>☐ Switching, multigig backhaul and resident support</w:t>
            </w:r>
          </w:p>
        </w:tc>
      </w:tr>
      <w:tr>
        <w:tc>
          <w:tcPr>
            <w:tcW w:type="dxa" w:w="2400"/>
            <w:vAlign w:val="center"/>
            <w:tcMar>
              <w:top w:w="170" w:type="dxa"/>
              <w:start w:w="160" w:type="dxa"/>
              <w:bottom w:w="170" w:type="dxa"/>
              <w:end w:w="160" w:type="dxa"/>
            </w:tcMar>
            <w:shd w:fill="071C2D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PHYSICAL INFRASTRUCTURE</w:t>
            </w:r>
          </w:p>
        </w:tc>
        <w:tc>
          <w:tcPr>
            <w:tcW w:type="dxa" w:w="69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FFFFF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8"/>
              </w:rPr>
              <w:t>☐ Conduit, pathways and structured cabling</w:t>
              <w:br/>
              <w:t>☐ MDF/IDF space, power, cooling, labeling and security</w:t>
              <w:br/>
              <w:t>☐ Renovation and future-expansion dependencies</w:t>
            </w:r>
          </w:p>
        </w:tc>
      </w:tr>
      <w:tr>
        <w:tc>
          <w:tcPr>
            <w:tcW w:type="dxa" w:w="2400"/>
            <w:vAlign w:val="center"/>
            <w:tcMar>
              <w:top w:w="170" w:type="dxa"/>
              <w:start w:w="160" w:type="dxa"/>
              <w:bottom w:w="170" w:type="dxa"/>
              <w:end w:w="160" w:type="dxa"/>
            </w:tcMar>
            <w:shd w:fill="071C2D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CONNECTED SYSTEMS</w:t>
            </w:r>
          </w:p>
        </w:tc>
        <w:tc>
          <w:tcPr>
            <w:tcW w:type="dxa" w:w="69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7F8F8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8"/>
              </w:rPr>
              <w:t>☐ Access control, credentials and intercom</w:t>
              <w:br/>
              <w:t>☐ Video coverage, retention and incident workflow</w:t>
              <w:br/>
              <w:t>☐ Thermostats, energy/IoT, resident platform and integrations</w:t>
            </w:r>
          </w:p>
        </w:tc>
      </w:tr>
      <w:tr>
        <w:tc>
          <w:tcPr>
            <w:tcW w:type="dxa" w:w="2400"/>
            <w:vAlign w:val="center"/>
            <w:tcMar>
              <w:top w:w="170" w:type="dxa"/>
              <w:start w:w="160" w:type="dxa"/>
              <w:bottom w:w="170" w:type="dxa"/>
              <w:end w:w="160" w:type="dxa"/>
            </w:tcMar>
            <w:shd w:fill="071C2D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LIFECYCLE + ACCOUNTABILITY</w:t>
            </w:r>
          </w:p>
        </w:tc>
        <w:tc>
          <w:tcPr>
            <w:tcW w:type="dxa" w:w="69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FFFFF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8"/>
              </w:rPr>
              <w:t>☐ Design, installation, commissioning and acceptance</w:t>
              <w:br/>
              <w:t>☐ Support, escalation and outage communication</w:t>
              <w:br/>
              <w:t>☐ Warranty, patches, refresh, records and contract-end portability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9360"/>
            <w:shd w:fill="F3F0E8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pPr>
              <w:spacing w:after="0"/>
            </w:pPr>
            <w:r>
              <w:rPr>
                <w:b/>
                <w:color w:val="F06432"/>
              </w:rPr>
              <w:t xml:space="preserve">FOR EACH ITEM: </w:t>
            </w:r>
            <w:r>
              <w:t>Mark Current / Needs validation / 2027 budget / Later phase. Assign an owner and next decision date.</w:t>
            </w:r>
          </w:p>
        </w:tc>
      </w:tr>
    </w:tbl>
    <w:p>
      <w:pPr>
        <w:spacing w:after="20"/>
      </w:pPr>
    </w:p>
    <w:p>
      <w:pPr>
        <w:spacing w:before="80" w:after="80"/>
      </w:pPr>
      <w:r>
        <w:rPr>
          <w:b/>
          <w:color w:val="F06432"/>
          <w:sz w:val="22"/>
        </w:rPr>
        <w:t>SITE-WALK STARTER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2400"/>
        <w:gridCol w:w="1500"/>
        <w:gridCol w:w="1700"/>
        <w:gridCol w:w="3760"/>
      </w:tblGrid>
      <w:tr>
        <w:trPr>
          <w:tblHeader w:val="true"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0B526B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PROPERTY</w:t>
            </w:r>
          </w:p>
        </w:tc>
        <w:tc>
          <w:tcPr>
            <w:tcW w:type="dxa" w:w="1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0B526B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UNITS / BEDS</w:t>
            </w:r>
          </w:p>
        </w:tc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0B526B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BUDGET DATE</w:t>
            </w:r>
          </w:p>
        </w:tc>
        <w:tc>
          <w:tcPr>
            <w:tcW w:type="dxa" w:w="3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0B526B"/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TOP 3 PRIORITIES</w:t>
            </w:r>
          </w:p>
        </w:tc>
      </w:tr>
      <w:t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7"/>
              </w:rPr>
            </w:r>
          </w:p>
        </w:tc>
        <w:tc>
          <w:tcPr>
            <w:tcW w:type="dxa" w:w="3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/>
                <w:b w:val="0"/>
                <w:color w:val="173042"/>
                <w:sz w:val="17"/>
              </w:rPr>
            </w:r>
          </w:p>
        </w:tc>
      </w:tr>
    </w:tbl>
    <w:p>
      <w:pPr>
        <w:spacing w:after="40"/>
      </w:pPr>
    </w:p>
    <w:p>
      <w:pPr>
        <w:spacing w:before="140" w:after="40"/>
        <w:jc w:val="center"/>
      </w:pPr>
      <w:r>
        <w:rPr>
          <w:b/>
          <w:color w:val="0B526B"/>
          <w:sz w:val="28"/>
        </w:rPr>
        <w:t>Schedule a 2027 Technology Budget &amp; Site Walk</w:t>
      </w:r>
    </w:p>
    <w:p>
      <w:pPr>
        <w:jc w:val="center"/>
      </w:pPr>
      <w:r>
        <w:rPr>
          <w:color w:val="5E6F79"/>
          <w:sz w:val="18"/>
        </w:rPr>
        <w:t>sales@synergyfiber.com  |  734-222-6061  |  synergyfiber.com</w:t>
      </w:r>
    </w:p>
    <w:sectPr w:rsidR="00FC693F" w:rsidRPr="0006063C" w:rsidSect="00034616">
      <w:pgSz w:w="12240" w:h="15840"/>
      <w:pgMar w:top="792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Calibri" w:hAnsi="Calibri"/>
      <w:color w:val="17304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